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A8337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53451C5" wp14:editId="2164FB80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74CCADDE" wp14:editId="6B372664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8880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3C4B4A33" w14:textId="7C5EB24F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DA385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2F6A6D1B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E871D6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63EE18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B1CFE8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81D22C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68A21F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206BA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CFEC0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9F495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CCBB2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33FA3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12FB4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3EB0D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128D4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C2DBF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7CB61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63899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A361B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E98CB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C8286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C24AF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CADD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1F528880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3C4B4A33" w14:textId="7C5EB24F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DA3851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2F6A6D1B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E871D6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63EE18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4B1CFE8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481D22C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368A21F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0206BA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CFEC0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9F495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CCBB2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33FA3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12FB4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33EB0D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128D4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DC2DBF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77CB61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63899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A361B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E98CB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C8286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0C24AF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8B733" wp14:editId="5828F685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157A1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08AB8200" w14:textId="77777777" w:rsidR="00285399" w:rsidRDefault="00267A06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NUTRIÇÃO EM CUIDADOS PALIATIVOS EM ONCOLOGIA</w:t>
                            </w:r>
                          </w:p>
                          <w:p w14:paraId="36A6EA8E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C811809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B733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40A157A1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08AB8200" w14:textId="77777777" w:rsidR="00285399" w:rsidRDefault="00267A06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NUTRIÇÃO EM CUIDADOS PALIATIVOS EM ONCOLOGIA</w:t>
                      </w:r>
                    </w:p>
                    <w:p w14:paraId="36A6EA8E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C811809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368621BC" wp14:editId="52C905D5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04F1A2BC" wp14:editId="44FCBE6B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4F713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41E775E9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67A3359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4C132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86F66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A80C1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E5729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695A8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C2C0E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6EA81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34773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CE5D8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E7217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FBC42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9FB6B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30B7E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0C390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F514D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2D5EA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94679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56AD3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A2BC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43E4F713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41E775E9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67A3359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4C132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086F66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4A80C1C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E5729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6695A8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C2C0E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46EA81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434773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CE5D8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E7217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FBC42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9FB6B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E30B7E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0C390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5F514D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62D5EA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594679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956AD3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2F21EA96" wp14:editId="43313C8E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4DF2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8AF915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826F00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7DE91AB4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72B26512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40DC6324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D442CE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13B3CD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E58695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68C41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36940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D9677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6356C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044D7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1C5A7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C6923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E3464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0C01E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B1311C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B6029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8E722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BD784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BC852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4BF92A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EA96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31104DF2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8AF915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826F00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7DE91AB4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72B26512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40DC6324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D442CE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713B3CD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E58695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568C41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36940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D9677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E6356C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044D7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41C5A7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EC6923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2E3464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0C01E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B1311C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B6029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C8E722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BD784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2BC852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54BF92A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7DD8A4DA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7B393128" w14:textId="77777777" w:rsidR="0052777F" w:rsidRPr="0052777F" w:rsidRDefault="0052777F" w:rsidP="007F4582">
      <w:pPr>
        <w:pStyle w:val="Corpodetexto"/>
        <w:spacing w:before="11"/>
        <w:ind w:right="-7"/>
      </w:pPr>
    </w:p>
    <w:p w14:paraId="5C1FD65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4C6FEAAE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7C8AEBD3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885FCF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47460DD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58E761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2554D035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41C44D28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2D0D173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</w:t>
      </w:r>
      <w:r w:rsidR="00267A06">
        <w:rPr>
          <w:rFonts w:ascii="Arial" w:hAnsi="Arial" w:cs="Arial"/>
          <w:color w:val="000000"/>
        </w:rPr>
        <w:t>Nutrição em Cuidados Paliativos em Oncologia</w:t>
      </w:r>
      <w:r>
        <w:rPr>
          <w:rFonts w:ascii="Arial" w:hAnsi="Arial" w:cs="Arial"/>
          <w:color w:val="000000"/>
        </w:rPr>
        <w:t>.</w:t>
      </w:r>
    </w:p>
    <w:p w14:paraId="3FFFDB0E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5837D5A" w14:textId="57EB87F2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306CDAA9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5B0D4DA0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867D0DD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31C46AAE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573D581F" w14:textId="77777777" w:rsidR="00285399" w:rsidRDefault="00285399" w:rsidP="00285399"/>
    <w:p w14:paraId="676A7EF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7B95C48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3BA1B0CF" w14:textId="77777777" w:rsidR="00285399" w:rsidRDefault="00285399" w:rsidP="00285399"/>
    <w:p w14:paraId="4508C48C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7C691668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68D9508" w14:textId="77777777" w:rsidR="00285399" w:rsidRDefault="00285399" w:rsidP="00285399">
      <w:pPr>
        <w:spacing w:after="240"/>
      </w:pPr>
    </w:p>
    <w:p w14:paraId="609B3A7B" w14:textId="01CB2383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3E1F7413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64284A27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B4CC40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4E0C9ACD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549B855C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6D5800EC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78B1B413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</w:p>
    <w:p w14:paraId="54562B0C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08BE45C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0688862B" w14:textId="77777777" w:rsidR="00285399" w:rsidRDefault="00285399" w:rsidP="00285399"/>
    <w:p w14:paraId="3E8FD80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2F5FEF3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0E690D4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6F2F9078" w14:textId="77777777" w:rsidR="00285399" w:rsidRDefault="00285399" w:rsidP="00285399"/>
    <w:p w14:paraId="0EC63B77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267A06">
        <w:rPr>
          <w:rFonts w:ascii="Arial" w:hAnsi="Arial" w:cs="Arial"/>
          <w:color w:val="000000"/>
        </w:rPr>
        <w:t>Nutrição em Cuidados Paliativos em Oncologia</w:t>
      </w:r>
      <w:r w:rsidR="00CA42AB">
        <w:rPr>
          <w:rFonts w:ascii="Arial" w:hAnsi="Arial" w:cs="Arial"/>
          <w:color w:val="000000"/>
        </w:rPr>
        <w:t>.</w:t>
      </w:r>
    </w:p>
    <w:p w14:paraId="65E3FF0C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76BC5FC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33B23446" w14:textId="77777777" w:rsidR="00285399" w:rsidRDefault="00285399" w:rsidP="00285399"/>
    <w:p w14:paraId="568C2E15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5AD0AE80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12C33A4C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66A02842" w14:textId="77777777" w:rsidR="00285399" w:rsidRDefault="00285399" w:rsidP="00285399"/>
    <w:p w14:paraId="29356417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004D805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841C6CD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4E74729A" w14:textId="77777777" w:rsidR="00285399" w:rsidRDefault="00285399" w:rsidP="00285399"/>
    <w:p w14:paraId="645D54C9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6B8A90DD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DE45310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7B53727D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B5C11E8" w14:textId="77777777" w:rsidR="00285399" w:rsidRDefault="00285399" w:rsidP="00285399">
      <w:pPr>
        <w:spacing w:after="240"/>
      </w:pPr>
    </w:p>
    <w:p w14:paraId="2627CBB9" w14:textId="77777777" w:rsidR="008F776B" w:rsidRDefault="008F776B" w:rsidP="00285399">
      <w:pPr>
        <w:spacing w:after="240"/>
      </w:pPr>
    </w:p>
    <w:p w14:paraId="5FBF34E6" w14:textId="77777777" w:rsidR="0085373F" w:rsidRDefault="0085373F" w:rsidP="00285399">
      <w:pPr>
        <w:spacing w:after="240"/>
      </w:pPr>
    </w:p>
    <w:p w14:paraId="455D3A57" w14:textId="77777777" w:rsidR="003F0915" w:rsidRDefault="003F0915" w:rsidP="00285399">
      <w:pPr>
        <w:spacing w:after="240"/>
      </w:pPr>
    </w:p>
    <w:p w14:paraId="2493ECD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59F156F5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1AA1DBF5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412C1511" w14:textId="77777777" w:rsidR="00DA3851" w:rsidRDefault="00DA3851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8ADCFBC" w14:textId="77777777" w:rsidR="00DA3851" w:rsidRDefault="00DA3851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EE37688" w14:textId="77777777" w:rsidR="00DA3851" w:rsidRDefault="00DA3851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E800F82" w14:textId="5F071CA9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21DFCF56" w14:textId="674711E6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DA385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267A06">
        <w:rPr>
          <w:rFonts w:ascii="Arial" w:hAnsi="Arial" w:cs="Arial"/>
          <w:color w:val="000000"/>
        </w:rPr>
        <w:t>Nutrição em Cuidados Paliativos em Oncologia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2221D94E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079A4E9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45C6CF9A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7717165E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4BC202AB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6CED30F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27C3B3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2F86B8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F42A70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B0EE18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4EFE3E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206A3D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3C7DB7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53B9A8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AA42AA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704001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F841C2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A395EE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457590E" w14:textId="77777777" w:rsidR="00DA3851" w:rsidRDefault="00DA3851" w:rsidP="00285399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</w:p>
    <w:p w14:paraId="45F9E608" w14:textId="2C86A43C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1EFAAA42" w14:textId="66003DF5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DA385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267A06">
        <w:rPr>
          <w:rFonts w:ascii="Arial" w:hAnsi="Arial" w:cs="Arial"/>
          <w:color w:val="000000"/>
        </w:rPr>
        <w:t>Nutrição em Cuidados Paliativos em Oncologia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162684B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0747AF3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6419534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A9DA30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4C839576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6F09B4D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26CA32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CBC0EC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58F823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83727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6CBFE9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AF22D3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7BE3CD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83139C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383800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6D397D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E74B9EC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7F0D49A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BCF915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507923F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2E8233FC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1C82AC4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4110DC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49A2B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CF34A9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102D582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C18C73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DA02AA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4912B0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20F62AB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69BC67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1A2F4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93B0E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1C706C5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D0988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79214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FF7D2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642036F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FF97AD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EB0C4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4409FE" w14:textId="77777777" w:rsidR="00285399" w:rsidRDefault="00285399"/>
          <w:p w14:paraId="1140203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1398DC7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2E8A36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1D176D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BC805F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27919B3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4ED35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D0E921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3073BE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7239BD2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7FCF48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E3D036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B8810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11B6942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199CE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DA595A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46AD69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1241BFB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5E725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5522B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2269C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711D403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F643B3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41DE7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FF66F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262BC3E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35197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21F50A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665459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3CD93FF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806DC6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42BF8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B9680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7766B8A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77DBF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3F836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99FED7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5ADFAB2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C72CF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141C0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830EE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3269E0B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B4EA7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93395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F0B5FE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48F07C2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2DF1CE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65BCB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06762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1F5987F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D8D6C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B3DFD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9E1AC2" w14:textId="77777777" w:rsidR="00285399" w:rsidRDefault="00285399"/>
          <w:p w14:paraId="5C75696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2E74702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C19F4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08B93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B5687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11BAB09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FF2504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3BE1A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4D477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010293C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21551F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F66B0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76743CB6" w14:textId="77777777" w:rsidR="00285399" w:rsidRDefault="00285399"/>
          <w:p w14:paraId="6449FE2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5A8686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28B9F469" w14:textId="77777777" w:rsidR="00285399" w:rsidRDefault="00285399"/>
          <w:p w14:paraId="00E2347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64E0D21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AEC83D3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E8A1A0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14ED4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46CF466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FE8361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6ED3C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8BEB268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2D1A995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CDAD2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79483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D3B6DA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113F8173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7A929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957D80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08089F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43AC192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55C96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1C703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8093110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7C2E52A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4E3EBE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0C9DAB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D944B8" w14:textId="77777777" w:rsidR="00285399" w:rsidRDefault="00285399"/>
        </w:tc>
      </w:tr>
    </w:tbl>
    <w:p w14:paraId="1825F523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33A0E2B" w14:textId="77777777" w:rsidR="00285399" w:rsidRDefault="00285399" w:rsidP="00285399"/>
    <w:p w14:paraId="653E41EA" w14:textId="77777777" w:rsidR="00285399" w:rsidRDefault="00285399" w:rsidP="00285399"/>
    <w:p w14:paraId="207393FD" w14:textId="77777777" w:rsidR="00285399" w:rsidRDefault="00285399" w:rsidP="00285399"/>
    <w:p w14:paraId="0D01238F" w14:textId="77777777" w:rsidR="00285399" w:rsidRDefault="00285399" w:rsidP="00285399"/>
    <w:p w14:paraId="7FBDE5D5" w14:textId="77777777" w:rsidR="00285399" w:rsidRDefault="00285399" w:rsidP="00285399"/>
    <w:p w14:paraId="3327281F" w14:textId="77777777" w:rsidR="00285399" w:rsidRDefault="00285399" w:rsidP="00285399"/>
    <w:p w14:paraId="003AFDF7" w14:textId="77777777" w:rsidR="00285399" w:rsidRDefault="00285399" w:rsidP="00285399"/>
    <w:p w14:paraId="722D91E4" w14:textId="77777777" w:rsidR="00285399" w:rsidRDefault="00285399" w:rsidP="00285399"/>
    <w:p w14:paraId="5942DBA1" w14:textId="77777777" w:rsidR="00285399" w:rsidRDefault="00285399" w:rsidP="00285399"/>
    <w:p w14:paraId="74F084D4" w14:textId="77777777" w:rsidR="00285399" w:rsidRDefault="00285399" w:rsidP="00285399"/>
    <w:p w14:paraId="4A24B4F2" w14:textId="77777777" w:rsidR="00285399" w:rsidRDefault="00285399" w:rsidP="00285399"/>
    <w:p w14:paraId="7D3E9289" w14:textId="77777777" w:rsidR="00285399" w:rsidRDefault="00285399" w:rsidP="00285399"/>
    <w:p w14:paraId="64887DD0" w14:textId="77777777" w:rsidR="00285399" w:rsidRDefault="00285399" w:rsidP="00285399"/>
    <w:p w14:paraId="634F9211" w14:textId="77777777" w:rsidR="00285399" w:rsidRDefault="00285399" w:rsidP="00285399"/>
    <w:p w14:paraId="7EA37987" w14:textId="77777777" w:rsidR="00285399" w:rsidRDefault="00285399" w:rsidP="00285399"/>
    <w:p w14:paraId="607A2AB3" w14:textId="77777777" w:rsidR="00285399" w:rsidRDefault="00285399" w:rsidP="00285399"/>
    <w:p w14:paraId="49C4FC34" w14:textId="77777777" w:rsidR="00285399" w:rsidRDefault="00285399" w:rsidP="00285399"/>
    <w:p w14:paraId="250C354D" w14:textId="77777777" w:rsidR="00285399" w:rsidRDefault="00285399" w:rsidP="00285399"/>
    <w:p w14:paraId="60659FB7" w14:textId="77777777" w:rsidR="00285399" w:rsidRDefault="00285399" w:rsidP="00285399"/>
    <w:p w14:paraId="35AD1A08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4CCC639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5816A5E0" w14:textId="77777777" w:rsidR="00285399" w:rsidRDefault="00285399" w:rsidP="00546613">
      <w:pPr>
        <w:spacing w:line="360" w:lineRule="auto"/>
      </w:pPr>
    </w:p>
    <w:p w14:paraId="77E6576A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5AB483EE" w14:textId="77777777" w:rsidR="00285399" w:rsidRDefault="00285399" w:rsidP="00285399"/>
    <w:p w14:paraId="5A361634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67FEB37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3136B4C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1AC19E5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10E35E79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7DAC01A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AC8384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E233F0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935BD7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DB27AD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31F403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0EEEA4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9E620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F23CE9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BB9FA4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8C289A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28613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25D9E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926A22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26B3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AE70E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42F113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CB4FC2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63AE1A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BEF89F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F8C17A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C743C7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2411A3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697A08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1F607E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69AE15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EC4BDE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CB6DA5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DE3A3C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110127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0A0558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1FD61F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0A4701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F6BF12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B0F28C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F9B47D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31EA5F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59D2DA49" w14:textId="77777777" w:rsidR="00285399" w:rsidRDefault="00285399" w:rsidP="00285399"/>
    <w:p w14:paraId="090D1AA2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56C372D8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2319B8F0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2CD89B51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0CCB3AE3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6B9EBC60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43ADABA1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789E29F5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66BCA07A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6D65478D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6176E741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29928C5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761EDCB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19073786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44E9C2B5" w14:textId="77777777" w:rsidR="00285399" w:rsidRDefault="00285399" w:rsidP="00285399"/>
    <w:p w14:paraId="56DF67FA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3A4D3EF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5636A2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1ECAE25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FE16FA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85F61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C3EFB1E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734862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250BD20D" w14:textId="77777777" w:rsidR="00285399" w:rsidRDefault="00285399" w:rsidP="00285399"/>
    <w:p w14:paraId="5185F99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1BC3F609" w14:textId="77777777" w:rsidR="00285399" w:rsidRDefault="00285399" w:rsidP="00285399"/>
    <w:p w14:paraId="47C28040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0BBEEDF2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36BB1676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42597386" w14:textId="77777777" w:rsidR="00285399" w:rsidRDefault="00285399" w:rsidP="00285399"/>
    <w:p w14:paraId="7CB1C088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4A340DFA" w14:textId="77777777" w:rsidR="00285399" w:rsidRDefault="00285399" w:rsidP="00285399"/>
    <w:p w14:paraId="4A09114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58E99CE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1534186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0A996896" w14:textId="77777777" w:rsidR="00285399" w:rsidRDefault="00285399" w:rsidP="00285399"/>
    <w:p w14:paraId="3A4E004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5D6EAAEB" w14:textId="77777777" w:rsidR="00285399" w:rsidRDefault="00285399" w:rsidP="00285399"/>
    <w:p w14:paraId="799FD980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0468056E" w14:textId="77777777" w:rsidR="00285399" w:rsidRDefault="00285399" w:rsidP="00285399"/>
    <w:p w14:paraId="25A4FF3D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45E09C6E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54DDF68F" w14:textId="77777777" w:rsidR="00285399" w:rsidRDefault="00285399" w:rsidP="00285399"/>
    <w:p w14:paraId="6248BA8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1B29443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92B6E3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22F10B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2A0F7D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4502E1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30543C3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C0538A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F5C1E7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C09780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24D577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C21444D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346102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1E7256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B939E5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92E3DF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E0C9FD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55E181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5CFCBC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FCA6B6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3868EB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C1E66C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55A187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C69793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55B8FE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4ACDD8C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52ECF90A" wp14:editId="3255D1F9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C200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A2549B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388D80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3D45E6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535A74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65F01D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5D5A383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FEECAB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6E34DC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92CBFA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4C2935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79B2055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7198D82" wp14:editId="5A569628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47A4A" w14:textId="77777777" w:rsidR="00095DEC" w:rsidRDefault="00095DEC" w:rsidP="002E2D9B">
      <w:pPr>
        <w:spacing w:after="0" w:line="240" w:lineRule="auto"/>
      </w:pPr>
      <w:r>
        <w:separator/>
      </w:r>
    </w:p>
  </w:endnote>
  <w:endnote w:type="continuationSeparator" w:id="0">
    <w:p w14:paraId="5B3AEA7F" w14:textId="77777777" w:rsidR="00095DEC" w:rsidRDefault="00095DEC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B7CC7" w14:textId="77777777" w:rsidR="00095DEC" w:rsidRDefault="00095DEC" w:rsidP="002E2D9B">
      <w:pPr>
        <w:spacing w:after="0" w:line="240" w:lineRule="auto"/>
      </w:pPr>
      <w:r>
        <w:separator/>
      </w:r>
    </w:p>
  </w:footnote>
  <w:footnote w:type="continuationSeparator" w:id="0">
    <w:p w14:paraId="5CB35115" w14:textId="77777777" w:rsidR="00095DEC" w:rsidRDefault="00095DEC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554842">
    <w:abstractNumId w:val="0"/>
  </w:num>
  <w:num w:numId="2" w16cid:durableId="1311595446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55432"/>
    <w:rsid w:val="00095DEC"/>
    <w:rsid w:val="000C7E8A"/>
    <w:rsid w:val="00136F53"/>
    <w:rsid w:val="00137A07"/>
    <w:rsid w:val="00146AD3"/>
    <w:rsid w:val="00212D8E"/>
    <w:rsid w:val="00231E53"/>
    <w:rsid w:val="00267A06"/>
    <w:rsid w:val="00285399"/>
    <w:rsid w:val="002A27BC"/>
    <w:rsid w:val="002B05A6"/>
    <w:rsid w:val="002D2313"/>
    <w:rsid w:val="002E0949"/>
    <w:rsid w:val="002E2D9B"/>
    <w:rsid w:val="0030311B"/>
    <w:rsid w:val="0030621B"/>
    <w:rsid w:val="003F0915"/>
    <w:rsid w:val="003F2CB3"/>
    <w:rsid w:val="004B14A7"/>
    <w:rsid w:val="004B7D75"/>
    <w:rsid w:val="004E6B13"/>
    <w:rsid w:val="0052777F"/>
    <w:rsid w:val="00546613"/>
    <w:rsid w:val="005E6E54"/>
    <w:rsid w:val="00632A5A"/>
    <w:rsid w:val="00636E56"/>
    <w:rsid w:val="00751F24"/>
    <w:rsid w:val="00761469"/>
    <w:rsid w:val="007C6EED"/>
    <w:rsid w:val="007F4582"/>
    <w:rsid w:val="007F67C0"/>
    <w:rsid w:val="00830CCA"/>
    <w:rsid w:val="0085373F"/>
    <w:rsid w:val="00881BE8"/>
    <w:rsid w:val="008E43AC"/>
    <w:rsid w:val="008F3E9B"/>
    <w:rsid w:val="008F776B"/>
    <w:rsid w:val="009005F9"/>
    <w:rsid w:val="00A37087"/>
    <w:rsid w:val="00A50081"/>
    <w:rsid w:val="00A50467"/>
    <w:rsid w:val="00BD7F34"/>
    <w:rsid w:val="00C64829"/>
    <w:rsid w:val="00C7553F"/>
    <w:rsid w:val="00C9764C"/>
    <w:rsid w:val="00CA42AB"/>
    <w:rsid w:val="00D749F5"/>
    <w:rsid w:val="00D96D64"/>
    <w:rsid w:val="00DA3851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B022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3B1F-932E-42D7-8813-D92B4CCC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1724</Words>
  <Characters>9311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3</cp:revision>
  <dcterms:created xsi:type="dcterms:W3CDTF">2025-10-21T19:10:00Z</dcterms:created>
  <dcterms:modified xsi:type="dcterms:W3CDTF">2025-10-21T19:10:00Z</dcterms:modified>
</cp:coreProperties>
</file>